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9FC83" w14:textId="616D4527" w:rsidR="00217E54" w:rsidRPr="00217E54" w:rsidRDefault="0031322A" w:rsidP="00217E54">
      <w:pPr>
        <w:spacing w:after="0"/>
        <w:rPr>
          <w:b/>
          <w:bCs/>
        </w:rPr>
      </w:pPr>
      <w:r>
        <w:rPr>
          <w:b/>
          <w:bCs/>
        </w:rPr>
        <w:t>O</w:t>
      </w:r>
      <w:r w:rsidR="00217E54" w:rsidRPr="00217E54">
        <w:rPr>
          <w:b/>
          <w:bCs/>
        </w:rPr>
        <w:t>2. 9.30am</w:t>
      </w:r>
    </w:p>
    <w:p w14:paraId="3D296F3C" w14:textId="1F4A63F9" w:rsidR="00091903" w:rsidRPr="00217E54" w:rsidRDefault="004D3354" w:rsidP="00217E54">
      <w:pPr>
        <w:spacing w:after="0"/>
        <w:rPr>
          <w:b/>
          <w:bCs/>
        </w:rPr>
      </w:pPr>
      <w:r w:rsidRPr="00217E54">
        <w:rPr>
          <w:b/>
          <w:bCs/>
        </w:rPr>
        <w:t>Three-Dimensional Magnetic Resonance Brain Imaging in Craniofacial Morphea</w:t>
      </w:r>
    </w:p>
    <w:p w14:paraId="799E93C7" w14:textId="53983D04" w:rsidR="001146B7" w:rsidRDefault="004D3354" w:rsidP="00217E54">
      <w:pPr>
        <w:spacing w:after="0"/>
      </w:pPr>
      <w:r>
        <w:t>L. Kiely</w:t>
      </w:r>
      <w:r w:rsidR="001146B7">
        <w:rPr>
          <w:vertAlign w:val="superscript"/>
        </w:rPr>
        <w:t>1,2,5</w:t>
      </w:r>
      <w:r>
        <w:t xml:space="preserve">, </w:t>
      </w:r>
      <w:r w:rsidR="00760FE9">
        <w:t>S, Teaw</w:t>
      </w:r>
      <w:r w:rsidR="001146B7">
        <w:rPr>
          <w:vertAlign w:val="superscript"/>
        </w:rPr>
        <w:t>5</w:t>
      </w:r>
      <w:r w:rsidR="00625FCB">
        <w:t>, J. Garza</w:t>
      </w:r>
      <w:r w:rsidR="001146B7">
        <w:rPr>
          <w:vertAlign w:val="superscript"/>
        </w:rPr>
        <w:t>5</w:t>
      </w:r>
      <w:r w:rsidR="00625FCB">
        <w:t>, M. Patel</w:t>
      </w:r>
      <w:r w:rsidR="001146B7">
        <w:rPr>
          <w:vertAlign w:val="superscript"/>
        </w:rPr>
        <w:t>4</w:t>
      </w:r>
      <w:r w:rsidR="00625FCB">
        <w:t>, L. Abba</w:t>
      </w:r>
      <w:r w:rsidR="001146B7">
        <w:t>s</w:t>
      </w:r>
      <w:r w:rsidR="001146B7">
        <w:rPr>
          <w:vertAlign w:val="superscript"/>
        </w:rPr>
        <w:t>5</w:t>
      </w:r>
      <w:r w:rsidR="00625FCB">
        <w:t>, T. Moog</w:t>
      </w:r>
      <w:r w:rsidR="001146B7">
        <w:rPr>
          <w:vertAlign w:val="superscript"/>
        </w:rPr>
        <w:t>4</w:t>
      </w:r>
      <w:r w:rsidR="00427565">
        <w:t>, M. Nemeh</w:t>
      </w:r>
      <w:r w:rsidR="001146B7">
        <w:rPr>
          <w:vertAlign w:val="superscript"/>
        </w:rPr>
        <w:t>4</w:t>
      </w:r>
      <w:r w:rsidR="00427565">
        <w:t xml:space="preserve">, </w:t>
      </w:r>
      <w:r w:rsidR="009F0089">
        <w:t>M . Bennett</w:t>
      </w:r>
      <w:r w:rsidR="001146B7">
        <w:rPr>
          <w:vertAlign w:val="superscript"/>
        </w:rPr>
        <w:t>2,3</w:t>
      </w:r>
      <w:r w:rsidR="009F0089">
        <w:t xml:space="preserve">, </w:t>
      </w:r>
      <w:r w:rsidR="00427565">
        <w:t>D. Okuda</w:t>
      </w:r>
      <w:r w:rsidR="001146B7">
        <w:rPr>
          <w:vertAlign w:val="superscript"/>
        </w:rPr>
        <w:t>4</w:t>
      </w:r>
      <w:r w:rsidR="00427565">
        <w:t>, H. Jacobe</w:t>
      </w:r>
      <w:r w:rsidR="001146B7">
        <w:rPr>
          <w:vertAlign w:val="superscript"/>
        </w:rPr>
        <w:t>5</w:t>
      </w:r>
      <w:r w:rsidR="00427565">
        <w:t>.</w:t>
      </w:r>
    </w:p>
    <w:p w14:paraId="69B73C5C" w14:textId="59F69EB6" w:rsidR="001146B7" w:rsidRDefault="001146B7" w:rsidP="00217E54">
      <w:pPr>
        <w:spacing w:after="0"/>
      </w:pPr>
      <w:r>
        <w:rPr>
          <w:vertAlign w:val="superscript"/>
        </w:rPr>
        <w:t>1</w:t>
      </w:r>
      <w:r>
        <w:t xml:space="preserve">Dermatology Department, Galway University Hospital, Galway, Ireland </w:t>
      </w:r>
    </w:p>
    <w:p w14:paraId="3DA02387" w14:textId="65338355" w:rsidR="001146B7" w:rsidRDefault="001146B7" w:rsidP="00217E54">
      <w:pPr>
        <w:spacing w:after="0"/>
      </w:pPr>
      <w:r>
        <w:rPr>
          <w:vertAlign w:val="superscript"/>
        </w:rPr>
        <w:t>2</w:t>
      </w:r>
      <w:r>
        <w:t xml:space="preserve">School of Medicine, </w:t>
      </w:r>
      <w:r w:rsidR="00760FE9" w:rsidRPr="00760FE9">
        <w:t>University College Cork</w:t>
      </w:r>
      <w:r>
        <w:t>, Cork, Ireland</w:t>
      </w:r>
    </w:p>
    <w:p w14:paraId="782A6A78" w14:textId="04423E35" w:rsidR="001146B7" w:rsidRDefault="001146B7" w:rsidP="00217E54">
      <w:pPr>
        <w:spacing w:after="0"/>
      </w:pPr>
      <w:r>
        <w:rPr>
          <w:vertAlign w:val="superscript"/>
        </w:rPr>
        <w:t>3</w:t>
      </w:r>
      <w:r>
        <w:t xml:space="preserve">South Infirmary Victoria University Hospital, Cork, Ireland </w:t>
      </w:r>
    </w:p>
    <w:p w14:paraId="0AD489CF" w14:textId="7C59210F" w:rsidR="00760FE9" w:rsidRDefault="001146B7" w:rsidP="00217E54">
      <w:pPr>
        <w:spacing w:after="0"/>
      </w:pPr>
      <w:r>
        <w:rPr>
          <w:vertAlign w:val="superscript"/>
        </w:rPr>
        <w:t>4</w:t>
      </w:r>
      <w:r>
        <w:t xml:space="preserve">Department of Neurology, </w:t>
      </w:r>
      <w:r w:rsidR="00760FE9" w:rsidRPr="00760FE9">
        <w:t xml:space="preserve">UT Southwestern Medical </w:t>
      </w:r>
      <w:proofErr w:type="spellStart"/>
      <w:r w:rsidR="00760FE9" w:rsidRPr="00760FE9">
        <w:t>Center</w:t>
      </w:r>
      <w:proofErr w:type="spellEnd"/>
      <w:r w:rsidR="00760FE9">
        <w:t xml:space="preserve">, </w:t>
      </w:r>
      <w:r w:rsidR="00625FCB">
        <w:t>Dallas</w:t>
      </w:r>
      <w:r>
        <w:t>,</w:t>
      </w:r>
      <w:r w:rsidR="00625FCB">
        <w:t xml:space="preserve"> Texas</w:t>
      </w:r>
      <w:r>
        <w:t>, USA</w:t>
      </w:r>
    </w:p>
    <w:p w14:paraId="74D8A3AB" w14:textId="02564A4B" w:rsidR="001146B7" w:rsidRDefault="001146B7" w:rsidP="001146B7">
      <w:pPr>
        <w:spacing w:after="0"/>
      </w:pPr>
      <w:r>
        <w:rPr>
          <w:vertAlign w:val="superscript"/>
        </w:rPr>
        <w:t>5</w:t>
      </w:r>
      <w:r>
        <w:t xml:space="preserve">Department of Dermatology, </w:t>
      </w:r>
      <w:r w:rsidRPr="00760FE9">
        <w:t xml:space="preserve">UT Southwestern Medical </w:t>
      </w:r>
      <w:proofErr w:type="spellStart"/>
      <w:r w:rsidRPr="00760FE9">
        <w:t>Center</w:t>
      </w:r>
      <w:proofErr w:type="spellEnd"/>
      <w:r>
        <w:t>, Dallas, Texas, USA</w:t>
      </w:r>
    </w:p>
    <w:p w14:paraId="17B62006" w14:textId="77777777" w:rsidR="00C953B1" w:rsidRDefault="00C953B1" w:rsidP="00217E54">
      <w:pPr>
        <w:spacing w:after="0"/>
      </w:pPr>
    </w:p>
    <w:p w14:paraId="54664603" w14:textId="42B8FE1C" w:rsidR="001146B7" w:rsidRDefault="001146B7" w:rsidP="00217E54">
      <w:pPr>
        <w:spacing w:after="0"/>
      </w:pPr>
      <w:r w:rsidRPr="001146B7">
        <w:rPr>
          <w:b/>
          <w:bCs/>
        </w:rPr>
        <w:t>Background:</w:t>
      </w:r>
      <w:r>
        <w:rPr>
          <w:b/>
          <w:bCs/>
        </w:rPr>
        <w:t xml:space="preserve"> </w:t>
      </w:r>
      <w:r w:rsidR="00760FE9" w:rsidRPr="00760FE9">
        <w:t xml:space="preserve">Neurological sequelae of craniofacial (CF) morphea remain poorly defined, creating a barrier to optimal patient care. Existing literature consists of small retrospective case series with heterogeneous reporting of neurological symptoms, imaging, and inconsistent use of validated dermatologic or neurologic measures. </w:t>
      </w:r>
    </w:p>
    <w:p w14:paraId="308722F9" w14:textId="77777777" w:rsidR="001146B7" w:rsidRDefault="001146B7" w:rsidP="00217E54">
      <w:pPr>
        <w:spacing w:after="0"/>
      </w:pPr>
      <w:r w:rsidRPr="001146B7">
        <w:rPr>
          <w:b/>
          <w:bCs/>
        </w:rPr>
        <w:t>Methods:</w:t>
      </w:r>
      <w:r>
        <w:t xml:space="preserve"> </w:t>
      </w:r>
      <w:r w:rsidR="00760FE9" w:rsidRPr="00760FE9">
        <w:t xml:space="preserve">We characterised MR neuroradiological and 3D stereophotogrammetry imaging findings in CF morphea and correlated these with validated dermatological and neurological outcomes. Participants aged ≥16 years with CF morphea and previously identified neuroimaging abnormalities (N=9) were prospectively recruited from the Morphea in Adults and Children registry and underwent standardised dermatological assessment, neurological evaluation, 3D facial imaging and brain MRI with volumetric analysis using a 3T scanner reviewed by a single expert neuroradiologist. </w:t>
      </w:r>
    </w:p>
    <w:p w14:paraId="5B32B0E4" w14:textId="77777777" w:rsidR="001146B7" w:rsidRDefault="001146B7" w:rsidP="00217E54">
      <w:pPr>
        <w:spacing w:after="0"/>
      </w:pPr>
      <w:r w:rsidRPr="001146B7">
        <w:rPr>
          <w:b/>
          <w:bCs/>
        </w:rPr>
        <w:t>Results:</w:t>
      </w:r>
      <w:r>
        <w:t xml:space="preserve"> </w:t>
      </w:r>
      <w:r w:rsidR="00760FE9" w:rsidRPr="00760FE9">
        <w:t>Median activity scores (</w:t>
      </w:r>
      <w:proofErr w:type="spellStart"/>
      <w:r w:rsidR="00760FE9" w:rsidRPr="00760FE9">
        <w:t>LoSAI</w:t>
      </w:r>
      <w:proofErr w:type="spellEnd"/>
      <w:r w:rsidR="00760FE9" w:rsidRPr="00760FE9">
        <w:t>, PGA-A) were 0, median damage scores (</w:t>
      </w:r>
      <w:proofErr w:type="spellStart"/>
      <w:r w:rsidR="00760FE9" w:rsidRPr="00760FE9">
        <w:t>LoSDI</w:t>
      </w:r>
      <w:proofErr w:type="spellEnd"/>
      <w:r w:rsidR="00760FE9" w:rsidRPr="00760FE9">
        <w:t xml:space="preserve">, PGA-D) were 5.5 (IQR 4.8-6.3) and 27.5 (IQR 20.8-37), respectively. Median Expanded Disability Status Scale (EDSS) score was 3.5 reflecting a moderate disability; no localising neurologic deficits were identified. Neurologic disability did not correlate with morphea measures of activity or damage (PGA-D, </w:t>
      </w:r>
      <w:proofErr w:type="spellStart"/>
      <w:r w:rsidR="00760FE9" w:rsidRPr="00760FE9">
        <w:t>LoSDI</w:t>
      </w:r>
      <w:proofErr w:type="spellEnd"/>
      <w:r w:rsidR="00760FE9" w:rsidRPr="00760FE9">
        <w:t xml:space="preserve">, r=0.20, p=0.64; r=0.33, p=0.42). Headache and visual disturbance were the most common neurologic symptoms (62.5%). Imaging abnormalities largely involved the hemisphere ipsilateral to the cutaneous lesion (78%) with those with both En Coup De Sabre and Progressive Hemifacial Atrophy. </w:t>
      </w:r>
    </w:p>
    <w:p w14:paraId="68247CFC" w14:textId="0FCA33D2" w:rsidR="004D3354" w:rsidRDefault="001146B7" w:rsidP="00217E54">
      <w:pPr>
        <w:spacing w:after="0"/>
      </w:pPr>
      <w:r w:rsidRPr="001146B7">
        <w:rPr>
          <w:b/>
          <w:bCs/>
        </w:rPr>
        <w:t>Conclusion:</w:t>
      </w:r>
      <w:r>
        <w:t xml:space="preserve"> </w:t>
      </w:r>
      <w:r w:rsidR="00760FE9" w:rsidRPr="00760FE9">
        <w:t xml:space="preserve">In sum, neuroradiological abnormalities on MRI were associated with mild neurologic symptoms and did not correlate with the severity of cutaneous disease.  Spatial overlap between the cutaneous and brain findings suggests </w:t>
      </w:r>
      <w:proofErr w:type="spellStart"/>
      <w:r w:rsidR="00760FE9" w:rsidRPr="00760FE9">
        <w:t>neuroectodermopathy</w:t>
      </w:r>
      <w:proofErr w:type="spellEnd"/>
      <w:r w:rsidR="00760FE9" w:rsidRPr="00760FE9">
        <w:t>. Further study of pathogenesis and clinical outcomes are needed.</w:t>
      </w:r>
    </w:p>
    <w:sectPr w:rsidR="004D33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F25"/>
    <w:rsid w:val="00091903"/>
    <w:rsid w:val="001146B7"/>
    <w:rsid w:val="00180880"/>
    <w:rsid w:val="00217E54"/>
    <w:rsid w:val="0031322A"/>
    <w:rsid w:val="00427565"/>
    <w:rsid w:val="004D3354"/>
    <w:rsid w:val="00625FCB"/>
    <w:rsid w:val="00760FE9"/>
    <w:rsid w:val="008810F9"/>
    <w:rsid w:val="009C1F25"/>
    <w:rsid w:val="009F0089"/>
    <w:rsid w:val="00AE49BA"/>
    <w:rsid w:val="00AE59DD"/>
    <w:rsid w:val="00AE6C10"/>
    <w:rsid w:val="00C9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F76A4"/>
  <w15:chartTrackingRefBased/>
  <w15:docId w15:val="{B13A577A-FD68-464E-9E96-70CF3DBF7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1F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F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F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F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F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F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F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F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F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F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F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F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F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F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F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F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F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F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F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F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F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F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F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F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F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F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F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F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 Carroll IAD</dc:creator>
  <cp:keywords/>
  <dc:description/>
  <cp:lastModifiedBy>Jacqui Carroll IAD</cp:lastModifiedBy>
  <cp:revision>2</cp:revision>
  <dcterms:created xsi:type="dcterms:W3CDTF">2026-10-02T11:51:00Z</dcterms:created>
  <dcterms:modified xsi:type="dcterms:W3CDTF">2026-10-02T11:51:00Z</dcterms:modified>
</cp:coreProperties>
</file>