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8AA41" w14:textId="595205E8" w:rsidR="00803987" w:rsidRPr="00803987" w:rsidRDefault="0076723E">
      <w:pPr>
        <w:rPr>
          <w:b/>
          <w:bCs/>
        </w:rPr>
      </w:pPr>
      <w:r>
        <w:rPr>
          <w:b/>
          <w:bCs/>
        </w:rPr>
        <w:t>O</w:t>
      </w:r>
      <w:r w:rsidR="00803987" w:rsidRPr="00803987">
        <w:rPr>
          <w:b/>
          <w:bCs/>
        </w:rPr>
        <w:t>1. 9.30am</w:t>
      </w:r>
    </w:p>
    <w:p w14:paraId="3DDD999C" w14:textId="0E6BF452" w:rsidR="00091903" w:rsidRPr="00803987" w:rsidRDefault="00502B36" w:rsidP="00877828">
      <w:pPr>
        <w:spacing w:after="0"/>
        <w:rPr>
          <w:b/>
          <w:bCs/>
        </w:rPr>
      </w:pPr>
      <w:r w:rsidRPr="00803987">
        <w:rPr>
          <w:b/>
          <w:bCs/>
        </w:rPr>
        <w:t>Effect of Semaglutide on Hidradenitis Suppurativa disease control &amp; quality of life: a case series</w:t>
      </w:r>
    </w:p>
    <w:p w14:paraId="65073B08" w14:textId="33F7587F" w:rsidR="00A22ADA" w:rsidRDefault="00502B36" w:rsidP="00877828">
      <w:pPr>
        <w:spacing w:after="0"/>
      </w:pPr>
      <w:r>
        <w:t>R. Drayne</w:t>
      </w:r>
      <w:r w:rsidR="00E2307E">
        <w:t xml:space="preserve">, </w:t>
      </w:r>
      <w:r w:rsidR="00A22ADA">
        <w:t>B. Kirby, R. Hughes.</w:t>
      </w:r>
    </w:p>
    <w:p w14:paraId="566D511D" w14:textId="19B2D834" w:rsidR="00E2307E" w:rsidRDefault="00E2307E" w:rsidP="00877828">
      <w:pPr>
        <w:spacing w:after="0"/>
      </w:pPr>
      <w:r>
        <w:t>St Vincent</w:t>
      </w:r>
      <w:r w:rsidR="00A22ADA">
        <w:t>’s University Hospital, Dublin</w:t>
      </w:r>
    </w:p>
    <w:p w14:paraId="2126505A" w14:textId="77777777" w:rsidR="00877828" w:rsidRDefault="00877828" w:rsidP="00877828">
      <w:pPr>
        <w:spacing w:after="0"/>
      </w:pPr>
    </w:p>
    <w:p w14:paraId="46957F69" w14:textId="77777777" w:rsidR="002524F0" w:rsidRPr="002524F0" w:rsidRDefault="002524F0" w:rsidP="00252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524F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Aim:</w:t>
      </w:r>
      <w:r w:rsidRPr="002524F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Hidradenitis suppurativa (HS) is associated with obesity and metabolic syndrome. Glucagon-like peptide-1 receptor agonists (GLP-1RA) promote weight loss, confer cardiovascular benefit, and may exert additional immunomodulatory effects. This study aimed to evaluate the real-world impact of semaglutide on disease severity, quality of life, and metabolic parameters in patients with HS and obesity.</w:t>
      </w:r>
    </w:p>
    <w:p w14:paraId="7045A93F" w14:textId="77777777" w:rsidR="002524F0" w:rsidRPr="002524F0" w:rsidRDefault="002524F0" w:rsidP="00252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524F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Methods:</w:t>
      </w:r>
      <w:r w:rsidRPr="002524F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In this retrospective study, 73 patients with HS and obesity treated with semaglutide were identified. Hurley stage, International Hidradenitis Suppurativa Severity Score System (IHS4), HS-specific treatments, weight, and Dermatology Life Quality Index (DLQI) were recorded before and during semaglutide treatment (minimum follow-up 3 months, maximum 46 months). Mixed-effects analysis was used to assess statistical significance (p&lt;0.05) of change in these parameters.</w:t>
      </w:r>
    </w:p>
    <w:p w14:paraId="3B7AC861" w14:textId="77777777" w:rsidR="002524F0" w:rsidRPr="002524F0" w:rsidRDefault="002524F0" w:rsidP="00252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524F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Results:</w:t>
      </w:r>
      <w:r w:rsidRPr="002524F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The cohort was predominantly female (n=66), with a mean age of 43 years; most had Hurley stage II disease. Semaglutide was used as adjunctive therapy in 61 patients and as monotherapy in 12. Mean IHS4 decreased significantly (-1.4, p=0.02), with a third of assessable patients achieving IHS4-55 response. DLQI improved significantly (from 10.97 to 5.35, p&lt;0.001). Mean weight fell significantly (p&lt;0.001). Notably, patients with &lt;5% weight loss still demonstrated significant improvements in both IHS4 and DLQI, suggesting a weight-independent effect. Improvements in metabolic parameters including HBA</w:t>
      </w:r>
      <w:r w:rsidRPr="002524F0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14:ligatures w14:val="none"/>
        </w:rPr>
        <w:t>1</w:t>
      </w:r>
      <w:r w:rsidRPr="002524F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 and insulin were also seen.</w:t>
      </w:r>
    </w:p>
    <w:p w14:paraId="7065F9B1" w14:textId="77777777" w:rsidR="002524F0" w:rsidRPr="002524F0" w:rsidRDefault="002524F0" w:rsidP="00252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524F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Conclusion:</w:t>
      </w:r>
      <w:r w:rsidRPr="002524F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Semaglutide, when added to standard HS therapy, is associated with significant improvements in disease severity and quality of life. These findings support a role for GLP-1RA as adjunctive HS therapy. Randomised controlled trials are needed to explore this issue further.</w:t>
      </w:r>
    </w:p>
    <w:p w14:paraId="42AF4047" w14:textId="1C7B7072" w:rsidR="00E2307E" w:rsidRDefault="00E2307E" w:rsidP="002524F0">
      <w:pPr>
        <w:spacing w:after="0"/>
      </w:pPr>
    </w:p>
    <w:sectPr w:rsidR="00E230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AD4"/>
    <w:rsid w:val="00051014"/>
    <w:rsid w:val="00091903"/>
    <w:rsid w:val="002524F0"/>
    <w:rsid w:val="00502B36"/>
    <w:rsid w:val="00592AD4"/>
    <w:rsid w:val="0076723E"/>
    <w:rsid w:val="00803987"/>
    <w:rsid w:val="00877828"/>
    <w:rsid w:val="008810F9"/>
    <w:rsid w:val="00910155"/>
    <w:rsid w:val="00A22ADA"/>
    <w:rsid w:val="00AE49BA"/>
    <w:rsid w:val="00AE6C10"/>
    <w:rsid w:val="00E2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9B670"/>
  <w15:chartTrackingRefBased/>
  <w15:docId w15:val="{BBE0BBC1-1C0B-42FB-80DB-B4A299722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2A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A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2A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A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A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A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A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A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A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A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A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A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A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A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A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A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A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A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A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A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2A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A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2A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2A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2A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A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A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A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Carroll IAD</dc:creator>
  <cp:keywords/>
  <dc:description/>
  <cp:lastModifiedBy>Jacqui Carroll IAD</cp:lastModifiedBy>
  <cp:revision>2</cp:revision>
  <dcterms:created xsi:type="dcterms:W3CDTF">2026-10-02T11:50:00Z</dcterms:created>
  <dcterms:modified xsi:type="dcterms:W3CDTF">2026-10-02T11:50:00Z</dcterms:modified>
</cp:coreProperties>
</file>